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left"/>
        <w:rPr>
          <w:rFonts w:ascii="Calibri" w:hAnsi="Calibri" w:eastAsia="Calibri" w:cs="Calibri"/>
          <w:color w:val="auto"/>
          <w:spacing w:val="0"/>
          <w:position w:val="0"/>
          <w:sz w:val="22"/>
          <w:shd w:val="clear" w:fill="auto"/>
        </w:rPr>
      </w:pPr>
      <w:r>
        <w:pict>
          <v:shape id="rectole0000000000" o:spid="_x0000_s1026" o:spt="75" type="#_x0000_t75" style="height:88.2pt;width:88.2pt;" o:ole="t" filled="f" o:preferrelative="t" coordsize="21600,21600">
            <v:path/>
            <v:fill on="f" focussize="0,0"/>
            <v:stroke/>
            <v:imagedata r:id="rId5" o:title=""/>
            <o:lock v:ext="edit"/>
            <w10:wrap type="none"/>
            <w10:anchorlock/>
          </v:shape>
          <o:OLEObject Type="Embed" ProgID="StaticMetafile" ShapeID="rectole0000000000" DrawAspect="Content" ObjectID="_1468075725" r:id="rId4">
            <o:LockedField>false</o:LockedField>
          </o:OLEObject>
        </w:pict>
      </w:r>
    </w:p>
    <w:p>
      <w:pPr>
        <w:spacing w:before="0" w:after="0" w:line="240" w:lineRule="auto"/>
        <w:ind w:left="0" w:right="0" w:firstLine="0"/>
        <w:jc w:val="left"/>
        <w:rPr>
          <w:rFonts w:hint="default" w:ascii="BC Sans" w:hAnsi="BC Sans" w:eastAsia="Noto Sans Med" w:cs="BC Sans"/>
          <w:color w:val="719B4B"/>
          <w:spacing w:val="0"/>
          <w:position w:val="0"/>
          <w:sz w:val="48"/>
          <w:shd w:val="clear" w:fill="auto"/>
        </w:rPr>
      </w:pPr>
      <w:r>
        <w:rPr>
          <w:rFonts w:hint="default" w:ascii="BC Sans" w:hAnsi="BC Sans" w:cs="BC Sans"/>
          <w:color w:val="719B4B"/>
          <w:sz w:val="48"/>
          <w:szCs w:val="48"/>
        </w:rPr>
        <w:t>IM Foundations:</w:t>
      </w:r>
      <w:r>
        <w:rPr>
          <w:rFonts w:hint="default" w:ascii="BC Sans" w:hAnsi="BC Sans" w:eastAsia="Noto Sans SemBd" w:cs="BC Sans"/>
          <w:color w:val="719B4B"/>
          <w:spacing w:val="-10"/>
          <w:position w:val="0"/>
          <w:sz w:val="44"/>
          <w:shd w:val="clear" w:fill="auto"/>
        </w:rPr>
        <w:t xml:space="preserve"> Access to Information</w:t>
      </w:r>
    </w:p>
    <w:p>
      <w:pPr>
        <w:spacing w:before="0" w:after="160" w:line="259" w:lineRule="auto"/>
        <w:ind w:left="0" w:right="0" w:firstLine="0"/>
        <w:jc w:val="left"/>
        <w:rPr>
          <w:rFonts w:hint="default" w:ascii="BC Sans" w:hAnsi="BC Sans" w:eastAsia="Noto Sans SemBd" w:cs="BC Sans"/>
          <w:color w:val="719B4B"/>
          <w:spacing w:val="0"/>
          <w:position w:val="0"/>
          <w:sz w:val="32"/>
          <w:shd w:val="clear" w:fill="auto"/>
        </w:rPr>
      </w:pPr>
      <w:r>
        <w:rPr>
          <w:rFonts w:hint="default" w:ascii="BC Sans" w:hAnsi="BC Sans" w:eastAsia="Noto Sans SemBd" w:cs="BC Sans"/>
          <w:color w:val="719B4B"/>
          <w:spacing w:val="0"/>
          <w:position w:val="0"/>
          <w:sz w:val="32"/>
          <w:shd w:val="clear" w:fill="auto"/>
        </w:rPr>
        <w:t>The five stages of a FOI request</w:t>
      </w:r>
    </w:p>
    <w:p>
      <w:pPr>
        <w:keepNext/>
        <w:keepLines/>
        <w:spacing w:before="40" w:after="0" w:line="259" w:lineRule="auto"/>
        <w:ind w:left="0" w:right="0" w:firstLine="0"/>
        <w:jc w:val="left"/>
        <w:rPr>
          <w:rFonts w:hint="default" w:ascii="BC Sans" w:hAnsi="BC Sans" w:eastAsia="Calibri" w:cs="BC Sans"/>
          <w:color w:val="404040"/>
          <w:spacing w:val="0"/>
          <w:position w:val="0"/>
          <w:sz w:val="24"/>
          <w:shd w:val="clear" w:fill="auto"/>
        </w:rPr>
      </w:pPr>
      <w:r>
        <w:rPr>
          <w:rFonts w:hint="default" w:ascii="BC Sans" w:hAnsi="BC Sans" w:eastAsia="Calibri" w:cs="BC Sans"/>
          <w:color w:val="404040"/>
          <w:spacing w:val="0"/>
          <w:position w:val="0"/>
          <w:sz w:val="24"/>
          <w:shd w:val="clear" w:fill="auto"/>
        </w:rPr>
        <w:t>Review the five steps FOI requests may go through</w:t>
      </w:r>
    </w:p>
    <w:p>
      <w:pPr>
        <w:keepNext/>
        <w:keepLines/>
        <w:spacing w:before="40" w:after="0" w:line="259" w:lineRule="auto"/>
        <w:ind w:left="0" w:right="0" w:firstLine="0"/>
        <w:jc w:val="left"/>
        <w:rPr>
          <w:rFonts w:hint="default" w:ascii="BC Sans" w:hAnsi="BC Sans" w:eastAsia="Calibri" w:cs="BC Sans"/>
          <w:color w:val="719B4B"/>
          <w:spacing w:val="0"/>
          <w:position w:val="0"/>
          <w:sz w:val="26"/>
          <w:shd w:val="clear" w:fill="auto"/>
        </w:rPr>
      </w:pPr>
      <w:bookmarkStart w:id="0" w:name="_GoBack"/>
      <w:r>
        <w:rPr>
          <w:rFonts w:hint="default" w:ascii="BC Sans" w:hAnsi="BC Sans" w:eastAsia="Calibri" w:cs="BC Sans"/>
          <w:color w:val="719B4B"/>
          <w:spacing w:val="0"/>
          <w:position w:val="0"/>
          <w:sz w:val="26"/>
          <w:shd w:val="clear" w:fill="auto"/>
        </w:rPr>
        <w:t>Intake</w:t>
      </w:r>
    </w:p>
    <w:bookmarkEnd w:id="0"/>
    <w:p>
      <w:pPr>
        <w:spacing w:before="0" w:after="12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RIS assists applicants in refining their FOI requests so that the requests meet legislated requirements and are as clearly defined and specific as possible. The subject matter experts on your ministry’s records, what information your ministry has, and whether the information you and your program area have is responsive to a FOI request</w:t>
      </w:r>
    </w:p>
    <w:p>
      <w:pPr>
        <w:keepNext/>
        <w:keepLines/>
        <w:spacing w:before="40" w:after="0" w:line="259" w:lineRule="auto"/>
        <w:ind w:left="0" w:right="0" w:firstLine="0"/>
        <w:jc w:val="left"/>
        <w:rPr>
          <w:rFonts w:hint="default" w:ascii="BC Sans" w:hAnsi="BC Sans" w:eastAsia="Calibri" w:cs="BC Sans"/>
          <w:color w:val="719B4B"/>
          <w:spacing w:val="0"/>
          <w:position w:val="0"/>
          <w:sz w:val="26"/>
          <w:shd w:val="clear" w:fill="auto"/>
        </w:rPr>
      </w:pPr>
      <w:r>
        <w:rPr>
          <w:rFonts w:hint="default" w:ascii="BC Sans" w:hAnsi="BC Sans" w:eastAsia="Calibri" w:cs="BC Sans"/>
          <w:color w:val="719B4B"/>
          <w:spacing w:val="0"/>
          <w:position w:val="0"/>
          <w:sz w:val="26"/>
          <w:shd w:val="clear" w:fill="auto"/>
        </w:rPr>
        <w:t>Search</w:t>
      </w:r>
    </w:p>
    <w:p>
      <w:pPr>
        <w:keepNext/>
        <w:keepLines/>
        <w:spacing w:before="40" w:after="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RIS works with program areas to conduct a records search, complete a harms assessment, and provide information necessary to support fee estimation.</w:t>
      </w:r>
    </w:p>
    <w:p>
      <w:pPr>
        <w:keepNext/>
        <w:keepLines/>
        <w:spacing w:before="40" w:after="0" w:line="259" w:lineRule="auto"/>
        <w:ind w:left="0" w:right="0" w:firstLine="0"/>
        <w:jc w:val="left"/>
        <w:rPr>
          <w:rFonts w:hint="default" w:ascii="BC Sans" w:hAnsi="BC Sans" w:eastAsia="Calibri" w:cs="BC Sans"/>
          <w:color w:val="719B4B"/>
          <w:spacing w:val="0"/>
          <w:position w:val="0"/>
          <w:sz w:val="26"/>
          <w:shd w:val="clear" w:fill="auto"/>
        </w:rPr>
      </w:pPr>
      <w:r>
        <w:rPr>
          <w:rFonts w:hint="default" w:ascii="BC Sans" w:hAnsi="BC Sans" w:eastAsia="Calibri" w:cs="BC Sans"/>
          <w:color w:val="719B4B"/>
          <w:spacing w:val="0"/>
          <w:position w:val="0"/>
          <w:sz w:val="26"/>
          <w:shd w:val="clear" w:fill="auto"/>
        </w:rPr>
        <w:t>Review</w:t>
      </w:r>
    </w:p>
    <w:p>
      <w:pPr>
        <w:spacing w:before="0" w:after="12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RIS conducts consultations, takes time extensions where required and permitted, and reviews and analyzes information to make disclosure recommendations.</w:t>
      </w:r>
    </w:p>
    <w:p>
      <w:pPr>
        <w:keepNext/>
        <w:keepLines/>
        <w:spacing w:before="40" w:after="0" w:line="259" w:lineRule="auto"/>
        <w:ind w:left="0" w:right="0" w:firstLine="0"/>
        <w:jc w:val="left"/>
        <w:rPr>
          <w:rFonts w:hint="default" w:ascii="BC Sans" w:hAnsi="BC Sans" w:eastAsia="Calibri" w:cs="BC Sans"/>
          <w:color w:val="719B4B"/>
          <w:spacing w:val="0"/>
          <w:position w:val="0"/>
          <w:sz w:val="26"/>
          <w:shd w:val="clear" w:fill="auto"/>
        </w:rPr>
      </w:pPr>
      <w:r>
        <w:rPr>
          <w:rFonts w:hint="default" w:ascii="BC Sans" w:hAnsi="BC Sans" w:eastAsia="Calibri" w:cs="BC Sans"/>
          <w:color w:val="719B4B"/>
          <w:spacing w:val="0"/>
          <w:position w:val="0"/>
          <w:sz w:val="26"/>
          <w:shd w:val="clear" w:fill="auto"/>
        </w:rPr>
        <w:t>Approve</w:t>
      </w:r>
    </w:p>
    <w:p>
      <w:pPr>
        <w:spacing w:before="0" w:after="12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RIS facilitates the approval of the disclosure recommendations.</w:t>
      </w:r>
    </w:p>
    <w:p>
      <w:pPr>
        <w:keepNext/>
        <w:keepLines/>
        <w:spacing w:before="40" w:after="0" w:line="259" w:lineRule="auto"/>
        <w:ind w:left="0" w:right="0" w:firstLine="0"/>
        <w:jc w:val="left"/>
        <w:rPr>
          <w:rFonts w:hint="default" w:ascii="BC Sans" w:hAnsi="BC Sans" w:eastAsia="Calibri" w:cs="BC Sans"/>
          <w:color w:val="719B4B"/>
          <w:spacing w:val="0"/>
          <w:position w:val="0"/>
          <w:sz w:val="26"/>
          <w:shd w:val="clear" w:fill="auto"/>
        </w:rPr>
      </w:pPr>
      <w:r>
        <w:rPr>
          <w:rFonts w:hint="default" w:ascii="BC Sans" w:hAnsi="BC Sans" w:eastAsia="Calibri" w:cs="BC Sans"/>
          <w:color w:val="719B4B"/>
          <w:spacing w:val="0"/>
          <w:position w:val="0"/>
          <w:sz w:val="26"/>
          <w:shd w:val="clear" w:fill="auto"/>
        </w:rPr>
        <w:t>Release</w:t>
      </w:r>
    </w:p>
    <w:p>
      <w:pPr>
        <w:spacing w:before="0" w:after="12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RIS releases the records package to the applicant and publishes to the BCER website, where applicable.</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ed">
    <w:altName w:val="Noto Sans"/>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201F" w:usb2="08000029" w:usb3="00100000" w:csb0="0000019F" w:csb1="00000000"/>
  </w:font>
  <w:font w:name="Noto Sans SemBd">
    <w:altName w:val="Noto Sans"/>
    <w:panose1 w:val="00000000000000000000"/>
    <w:charset w:val="00"/>
    <w:family w:val="auto"/>
    <w:pitch w:val="default"/>
    <w:sig w:usb0="00000000" w:usb1="00000000" w:usb2="00000000" w:usb3="00000000" w:csb0="00000000" w:csb1="00000000"/>
  </w:font>
  <w:font w:name="BC Sans">
    <w:panose1 w:val="00000000000000000000"/>
    <w:charset w:val="00"/>
    <w:family w:val="auto"/>
    <w:pitch w:val="default"/>
    <w:sig w:usb0="E00002FF" w:usb1="4000001B" w:usb2="08002021" w:usb3="00100000" w:csb0="2000019F" w:csb1="0000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compat>
    <w:splitPgBreakAndParaMark/>
    <w:compatSetting w:name="compatibilityMode" w:uri="http://schemas.microsoft.com/office/word" w:val="12"/>
  </w:compat>
  <w:rsids>
    <w:rsidRoot w:val="00000000"/>
    <w:rsid w:val="06410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2024-03-14T19:50:22Z</dcterms:created>
  <dc:creator>Natalie Evans</dc:creator>
  <cp:lastModifiedBy>Natalie Evans</cp:lastModifiedBy>
  <dcterms:modified xsi:type="dcterms:W3CDTF">2024-03-14T19:51:13Z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2E58635D73F6424BABD3C9B24FB37205</vt:lpwstr>
  </property>
</Properties>
</file>